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Methanol Futures</w:t>
      </w:r>
    </w:p>
    <w:p>
      <w:pPr>
        <w:widowControl/>
        <w:snapToGrid w:val="0"/>
        <w:spacing w:after="240"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等线"/>
          <w:kern w:val="0"/>
          <w:sz w:val="24"/>
          <w:szCs w:val="24"/>
          <w:highlight w:val="none"/>
          <w:lang w:val="en-US" w:eastAsia="zh-CN"/>
        </w:rPr>
        <w:t>(</w:t>
      </w:r>
      <w:bookmarkStart w:id="0" w:name="_GoBack"/>
      <w:bookmarkEnd w:id="0"/>
      <w:r>
        <w:rPr>
          <w:rFonts w:hint="eastAsia" w:ascii="Times New Roman" w:hAnsi="Times New Roman" w:eastAsia="等线"/>
          <w:kern w:val="0"/>
          <w:sz w:val="24"/>
          <w:szCs w:val="24"/>
          <w:highlight w:val="none"/>
          <w:lang w:val="en-US" w:eastAsia="zh-CN"/>
        </w:rPr>
        <w:t>A</w:t>
      </w:r>
      <w:r>
        <w:rPr>
          <w:rFonts w:ascii="Times New Roman" w:hAnsi="Times New Roman" w:eastAsia="等线"/>
          <w:kern w:val="0"/>
          <w:sz w:val="24"/>
          <w:szCs w:val="24"/>
          <w:highlight w:val="none"/>
        </w:rPr>
        <w:t xml:space="preserve">dopted at the </w:t>
      </w:r>
      <w:r>
        <w:rPr>
          <w:rFonts w:hint="eastAsia" w:ascii="Times New Roman" w:hAnsi="Times New Roman" w:eastAsia="等线"/>
          <w:kern w:val="0"/>
          <w:sz w:val="24"/>
          <w:szCs w:val="24"/>
          <w:highlight w:val="none"/>
          <w:lang w:val="en-US" w:eastAsia="zh-CN"/>
        </w:rPr>
        <w:t>10</w:t>
      </w:r>
      <w:r>
        <w:rPr>
          <w:rFonts w:ascii="Times New Roman" w:hAnsi="Times New Roman" w:eastAsia="等线"/>
          <w:kern w:val="0"/>
          <w:sz w:val="24"/>
          <w:szCs w:val="24"/>
          <w:highlight w:val="none"/>
        </w:rPr>
        <w:t xml:space="preserve">th meeting of the 8th Board of Governors on </w:t>
      </w:r>
      <w:r>
        <w:rPr>
          <w:rFonts w:hint="eastAsia" w:ascii="Times New Roman" w:hAnsi="Times New Roman" w:eastAsia="等线"/>
          <w:kern w:val="0"/>
          <w:sz w:val="24"/>
          <w:szCs w:val="24"/>
          <w:highlight w:val="none"/>
          <w:lang w:val="en-US" w:eastAsia="zh-CN"/>
        </w:rPr>
        <w:t>January</w:t>
      </w:r>
      <w:r>
        <w:rPr>
          <w:rFonts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4</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lang w:val="en-US" w:eastAsia="zh-CN"/>
        </w:rPr>
        <w:t xml:space="preserve">4; </w:t>
      </w:r>
      <w:r>
        <w:rPr>
          <w:rFonts w:ascii="Times New Roman" w:hAnsi="Times New Roman" w:eastAsia="等线"/>
          <w:kern w:val="0"/>
          <w:sz w:val="24"/>
          <w:szCs w:val="24"/>
          <w:highlight w:val="none"/>
        </w:rPr>
        <w:t>issued by Announcement [202</w:t>
      </w:r>
      <w:r>
        <w:rPr>
          <w:rFonts w:hint="eastAsia" w:ascii="Times New Roman" w:hAnsi="Times New Roman" w:eastAsia="等线"/>
          <w:kern w:val="0"/>
          <w:sz w:val="24"/>
          <w:szCs w:val="24"/>
          <w:highlight w:val="none"/>
          <w:lang w:val="en-US" w:eastAsia="zh-CN"/>
        </w:rPr>
        <w:t>4</w:t>
      </w:r>
      <w:r>
        <w:rPr>
          <w:rFonts w:ascii="Times New Roman" w:hAnsi="Times New Roman" w:eastAsia="等线"/>
          <w:kern w:val="0"/>
          <w:sz w:val="24"/>
          <w:szCs w:val="24"/>
          <w:highlight w:val="none"/>
        </w:rPr>
        <w:t>] No.</w:t>
      </w:r>
      <w:r>
        <w:rPr>
          <w:rFonts w:hint="eastAsia" w:ascii="Times New Roman" w:hAnsi="Times New Roman" w:eastAsia="等线"/>
          <w:kern w:val="0"/>
          <w:sz w:val="24"/>
          <w:szCs w:val="24"/>
          <w:highlight w:val="none"/>
          <w:lang w:val="en-US" w:eastAsia="zh-CN"/>
        </w:rPr>
        <w:t>16</w:t>
      </w:r>
      <w:r>
        <w:rPr>
          <w:rFonts w:ascii="Times New Roman" w:hAnsi="Times New Roman" w:eastAsia="等线"/>
          <w:kern w:val="0"/>
          <w:sz w:val="24"/>
          <w:szCs w:val="24"/>
          <w:highlight w:val="none"/>
        </w:rPr>
        <w:t xml:space="preserve"> on </w:t>
      </w:r>
      <w:r>
        <w:rPr>
          <w:rFonts w:hint="eastAsia" w:ascii="Times New Roman" w:hAnsi="Times New Roman" w:eastAsia="等线"/>
          <w:kern w:val="0"/>
          <w:sz w:val="24"/>
          <w:szCs w:val="24"/>
          <w:highlight w:val="none"/>
        </w:rPr>
        <w:t>February</w:t>
      </w:r>
      <w:r>
        <w:rPr>
          <w:rFonts w:hint="eastAsia" w:ascii="Times New Roman" w:hAnsi="Times New Roman" w:eastAsia="等线"/>
          <w:kern w:val="0"/>
          <w:sz w:val="24"/>
          <w:szCs w:val="24"/>
          <w:highlight w:val="none"/>
          <w:lang w:val="en-US" w:eastAsia="zh-CN"/>
        </w:rPr>
        <w:t xml:space="preserve"> 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lang w:val="en-US" w:eastAsia="zh-CN"/>
        </w:rPr>
        <w:t xml:space="preserve">4; </w:t>
      </w:r>
      <w:r>
        <w:rPr>
          <w:rFonts w:ascii="Times New Roman" w:hAnsi="Times New Roman" w:eastAsia="等线"/>
          <w:kern w:val="0"/>
          <w:sz w:val="24"/>
          <w:szCs w:val="24"/>
          <w:highlight w:val="none"/>
        </w:rPr>
        <w:t xml:space="preserve">changes take effect as of </w:t>
      </w:r>
      <w:r>
        <w:rPr>
          <w:rFonts w:hint="eastAsia" w:ascii="Times New Roman" w:hAnsi="Times New Roman" w:eastAsia="等线"/>
          <w:kern w:val="0"/>
          <w:sz w:val="24"/>
          <w:szCs w:val="24"/>
          <w:highlight w:val="none"/>
        </w:rPr>
        <w:t>February</w:t>
      </w:r>
      <w:r>
        <w:rPr>
          <w:rFonts w:hint="eastAsia" w:ascii="Times New Roman" w:hAnsi="Times New Roman" w:eastAsia="等线"/>
          <w:kern w:val="0"/>
          <w:sz w:val="24"/>
          <w:szCs w:val="24"/>
          <w:highlight w:val="none"/>
          <w:lang w:val="en-US" w:eastAsia="zh-CN"/>
        </w:rPr>
        <w:t xml:space="preserve"> 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lang w:val="en-US" w:eastAsia="zh-CN"/>
        </w:rPr>
        <w:t>4.</w:t>
      </w:r>
      <w:r>
        <w:rPr>
          <w:rFonts w:ascii="Times New Roman" w:hAnsi="Times New Roman" w:eastAsia="等线"/>
          <w:kern w:val="0"/>
          <w:sz w:val="24"/>
          <w:szCs w:val="24"/>
          <w:highlight w:val="none"/>
        </w:rPr>
        <w:t>)</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1</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 xml:space="preserve">Detailed Rules </w:t>
      </w:r>
      <w:r>
        <w:rPr>
          <w:rFonts w:ascii="Times New Roman" w:hAnsi="Times New Roman" w:eastAsia="宋体" w:cs="Times New Roman"/>
          <w:color w:val="333333"/>
          <w:kern w:val="0"/>
          <w:sz w:val="24"/>
          <w:szCs w:val="24"/>
        </w:rPr>
        <w:t xml:space="preserve">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and the methanol futures (“</w:t>
      </w:r>
      <w:r>
        <w:rPr>
          <w:rFonts w:ascii="Times New Roman" w:hAnsi="Times New Roman" w:eastAsia="宋体" w:cs="Times New Roman"/>
          <w:b/>
          <w:bCs/>
          <w:color w:val="333333"/>
          <w:kern w:val="0"/>
          <w:sz w:val="24"/>
          <w:szCs w:val="24"/>
        </w:rPr>
        <w:t>MA</w:t>
      </w:r>
      <w:r>
        <w:rPr>
          <w:rFonts w:ascii="Times New Roman" w:hAnsi="Times New Roman" w:eastAsia="宋体" w:cs="Times New Roman"/>
          <w:color w:val="333333"/>
          <w:kern w:val="0"/>
          <w:sz w:val="24"/>
          <w:szCs w:val="24"/>
        </w:rPr>
        <w:t>”) contract to regulate MA-related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The Exchange, Members, clients, delivery warehouses, factory warehouses, Designated Quality Inspection Agencies, and other participants of the futures market shall comply with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2</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a contract size of 10 metric tons/lot.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a minimum price fluctuation of 1 yuan/metric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the following delivery months: every month from January to December.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7</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a minimum order size of 1 lot, maximum order size of 1,000 lots for limit orders, and maximum order size of 200 lots for market orders.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8</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MA contract is traded during night session hours and day session hours. The night session hours are </w:t>
      </w:r>
      <w:r>
        <w:rPr>
          <w:rFonts w:hint="eastAsia" w:ascii="Times New Roman" w:hAnsi="Times New Roman" w:eastAsia="宋体" w:cs="Times New Roman"/>
          <w:color w:val="333333"/>
          <w:kern w:val="0"/>
          <w:sz w:val="24"/>
          <w:szCs w:val="24"/>
        </w:rPr>
        <w:t>21</w:t>
      </w:r>
      <w:r>
        <w:rPr>
          <w:rFonts w:ascii="Times New Roman" w:hAnsi="Times New Roman" w:eastAsia="宋体" w:cs="Times New Roman"/>
          <w:color w:val="333333"/>
          <w:kern w:val="0"/>
          <w:sz w:val="24"/>
          <w:szCs w:val="24"/>
        </w:rPr>
        <w:t xml:space="preserve">:00 – </w:t>
      </w:r>
      <w:r>
        <w:rPr>
          <w:rFonts w:hint="eastAsia" w:ascii="Times New Roman" w:hAnsi="Times New Roman" w:eastAsia="宋体" w:cs="Times New Roman"/>
          <w:color w:val="333333"/>
          <w:kern w:val="0"/>
          <w:sz w:val="24"/>
          <w:szCs w:val="24"/>
        </w:rPr>
        <w:t>23</w:t>
      </w:r>
      <w:r>
        <w:rPr>
          <w:rFonts w:ascii="Times New Roman" w:hAnsi="Times New Roman" w:eastAsia="宋体" w:cs="Times New Roman"/>
          <w:color w:val="333333"/>
          <w:kern w:val="0"/>
          <w:sz w:val="24"/>
          <w:szCs w:val="24"/>
        </w:rPr>
        <w:t xml:space="preserve">:00. The day session hours are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 xml:space="preserve">:30 –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suspension or cancellation of the night session or adjustment of the night session hours will be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9</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10</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the following product code: MA.</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3</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Delivery</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1</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11</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may be delivered by exchange of futures for physical (“</w:t>
      </w:r>
      <w:r>
        <w:rPr>
          <w:rFonts w:ascii="Times New Roman" w:hAnsi="Times New Roman" w:eastAsia="宋体" w:cs="Times New Roman"/>
          <w:b/>
          <w:bCs/>
          <w:color w:val="333333"/>
          <w:kern w:val="0"/>
          <w:sz w:val="24"/>
          <w:szCs w:val="24"/>
        </w:rPr>
        <w:t>EFP</w:t>
      </w:r>
      <w:r>
        <w:rPr>
          <w:rFonts w:ascii="Times New Roman" w:hAnsi="Times New Roman" w:eastAsia="宋体" w:cs="Times New Roman"/>
          <w:color w:val="333333"/>
          <w:kern w:val="0"/>
          <w:sz w:val="24"/>
          <w:szCs w:val="24"/>
        </w:rPr>
        <w:t>”), delivery with standard delivery warehouse receipts, and delivery with standard factory warehouse receipts. MA may adopt either duty-paid delivery or Bonded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Rolling Delivery for MA is conducted through Response Matching.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specific delivery procedures are governed by the applicable provisions of the </w:t>
      </w:r>
      <w:r>
        <w:rPr>
          <w:rFonts w:ascii="Times New Roman" w:hAnsi="Times New Roman" w:eastAsia="宋体" w:cs="Times New Roman"/>
          <w:i/>
          <w:iCs/>
          <w:color w:val="333333"/>
          <w:kern w:val="0"/>
          <w:sz w:val="24"/>
          <w:szCs w:val="24"/>
        </w:rPr>
        <w:t xml:space="preserve">Futures Delivery Rules of Zhengzhou Commodity Exchange </w:t>
      </w:r>
      <w:r>
        <w:rPr>
          <w:rFonts w:ascii="Times New Roman" w:hAnsi="Times New Roman" w:eastAsia="宋体" w:cs="Times New Roman"/>
          <w:color w:val="333333"/>
          <w:kern w:val="0"/>
          <w:sz w:val="24"/>
          <w:szCs w:val="24"/>
        </w:rPr>
        <w:t xml:space="preserve">and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12</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a delivery unit of 10 metric tons.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13</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14</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standard warehouse receipts for MA may be classified into standard delivery warehouse receipts and standard factory warehouse receipts, and also into bonded standard warehouse receipts and duty-paid standard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standard warehouse receipts for MA are all non-general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15</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duty-paid standard warehouse receipts for methanol registered on or before the 15th trading day of May or November of each year shall be cancelled on or before the 15th trading day of May or November of the same year.</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validity period of bonded standard warehouse receipts for methanol extends five (5) trading days beyond that of duty-paid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16</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Delivery of MA shall be made against a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17</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delivery warehouses and factory warehouses for MA and the relevant premiums and discounts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18</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benchmark delivery price of MA is the tax-included price at which the benchmark deliverable is delivered through a load-out from a benchmark delivery warehouse onto a truck.</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19</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area in the delivery warehouse as well as the expenses from loading the commodity onto the truck at load-out; the pick-up person shall bear all the expenses incurred after the commodity is loaded onto the truck.</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rates of delivery fees, storage fees, load-in and load-out fees, inspection fees, and other delivery-related fees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20</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Any client that is not qualified to produce, store, use, deal in, or transport methanol shall not take part in the delivery of methanol.</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21</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Any matter in relation to the creation, negotiation, and cancellation of standard warehouse receipts for MA that is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2</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22</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The delivery of MA is governed by national standards and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23</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The benchmark deliverable is “Premier Grade” methanol under </w:t>
      </w:r>
      <w:r>
        <w:rPr>
          <w:rFonts w:ascii="Times New Roman" w:hAnsi="Times New Roman" w:eastAsia="宋体" w:cs="Times New Roman"/>
          <w:i/>
          <w:iCs/>
          <w:color w:val="333333"/>
          <w:kern w:val="0"/>
          <w:sz w:val="24"/>
          <w:szCs w:val="24"/>
        </w:rPr>
        <w:t>National Standard of the People’s Republic of China “Methanol for Industrial Use”</w:t>
      </w:r>
      <w:r>
        <w:rPr>
          <w:rFonts w:ascii="Times New Roman" w:hAnsi="Times New Roman" w:eastAsia="宋体" w:cs="Times New Roman"/>
          <w:color w:val="333333"/>
          <w:kern w:val="0"/>
          <w:sz w:val="24"/>
          <w:szCs w:val="24"/>
        </w:rPr>
        <w:t xml:space="preserve"> (GB/T 338-2011), without requirement for “mass fraction of ethanol.”</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3</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Delivery with Standard Delivery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24</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MA.</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25</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Load-in Notice issued by a methanol delivery warehouse is valid for forty (40) calendar days.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Methanol shall be transported in a manner that complies with national regulations on the transport of dangerous chemicals.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27</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With respect to any request to load in domestically produced methanol, a Certificate of Quality issued by the manufacturer of the current shipment of product shall be presented to the delivery warehouse to certify that the product meets the standard for delivery. The Certificate of Quality shall indicate the manufacturer, date of production, applicable quality standards, and quality inspection results for the current shipment, among other information.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With respect to any request to load in overseas-produced methanol, photocopies of the shipping documents, PBC Customs Declaration Form for Import Goods, and the Certificate of Quality issued by the manufacturer for the current shipment of product, as well as the original customs clearance documents, shall be presented to the delivery warehouse. The registrant of the standard warehouse receipts shall sign a Guarantee of Lawful, Truthful, and Valid Documentations for Imported Methanol for the documentations it provides.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delivery warehouse shall review the load-in documentations specified in the foregoing paragraphs as well as the registrant’s qualifications to deal in dangerous chemicals.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28</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At the load-in of methanol transported by truck, the weight shall be as indicated by the truck scale and the weight inspection shall be organized by the delivery warehouse. At the load-in of methanol transported by rail or ship, the weight shall be as indicated by the measuring stick into the storage tank of the delivery warehouse. The registrant of the standard warehouse receipts may engage a Designated Quality Inspection Agency or the delivery warehouse to perform weight verification. Where weight verification is performed by a Designated Quality Inspection Agency, the delivery warehouse shall provide cooperation and any expenses incurred shall be borne by the registrant.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Subject to the approval of the Exchange, the weight inspection may be conducted with another sophisticated weighing apparatus recognized by the relevant national quality and technical supervision authority.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29</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load-in sampling and quality inspection of methanol is to be conducted by a Designated Quality Inspection Agency. The relevant delivery warehouse shall provide cooperation and any expenses incurred (excluding the expenses of the delivery warehouse for cooperating with the inspection) shall be borne by the registrant of the corresponding standard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Designated Quality Inspection Agency shall issue and notify the delivery warehouse of the inspection results within three (3) business days of completing the sampling process.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Any registrant or delivery warehouse that objects to the results of load-in quality inspection may request the Exchange for a re-inspection. The specific procedures are governed by the “Load-in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registrant of standard warehouse receipts shall be present at the weight inspection and load-in sampling of methanol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tank number, which information shall be confirmed by the registrant with signature.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31</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For any methanol that is already loaded in, if the corresponding prospective registrant can provide, and the delivery warehouse recognizes, the inspection report issued by the relevant Designated Quality Inspection Agency which certifies that the methanol meets the standard for delivery, the registrant may request to register the corresponding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32</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Where a tank contains a mixture of methanol for futures delivery and methanol for spot transactions, the relevant delivery warehouse shall ensure that the entire tank meets the standard for futures delivery. Any methanol not meeting this standard may not be stored in a mixed tank or used to register for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33</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Upon the cancellation of a standard delivery warehouse receipt for methanol,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ship the commodity within ten (10) calendar days by trucks or ships or twenty (20) calendar days by trains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34</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load-out weight inspection of methanol shall be jointly conducted by the delivery warehouse and the pick-up person in reference to the rules on load-in weight 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MA contract in the nearby month up to and including the date the Pick-up Notice is issued.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35</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Any pick-up person that objects to the quality of the methanol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4</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36</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maximum number of standard warehouse receipts registerable by an MA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factory warehouse for methanol shall provide registration security in accordance with the rules of the Exchange before requesting to register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Upon the cancellation of a standard factory warehouse receipt for methanol,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In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38</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Unless otherwise agreed with the pick-up person, a factory warehouse shall begin shipping the commodity within three (3) calendar days after the pick-up procedures are duly completed. The pick-up person may either pick up the commodity personally at the warehouse or request the factory warehouse to ship it on his behalf.</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39</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load-out weight inspection of methanol from a factory warehouse shall be jointly conducted by the pick-up person and the factory warehouse, with the weight obtained by the factory warehouse being conclusive. Load-out shall be conducted without shortage in weight.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factory warehouse in a timely manner; failing which, the delivery warehouse shall compensate the pick-up person for the price of the missing commodity based on the highest final settlement price of the MA contract in the nearby month up to and including the date the Pick-up Notice is issued.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40</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At the time of load-out, the factory warehouse shall take samples in the presence of the pick-up person before the commodity is loaded onto the pick-up person’s transport vehicles, which samples shall be jointly confirmed and then jointly sealed by the parties. Each sample is to be partitioned into three parts, with one kept by the pick-up person and two by the factory warehouse. The samples shall be retained by the factory warehouse for thirty (30) calendar days after shipment and will serve as the basis for settling potential quality disputes.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41</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load-out; objection over quality shall be raised within five (5) business days of load-out. Only the previously retained samples may be used for quality re-inspection. The procedures for the re-inspection are governed by the “Load-out Re-inspection of Factory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42</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MA contract in the nearby month × commodity quantity yet to be shipped × 120%.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43</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44</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45</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4</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Bonded Standard Warehouse Receipts</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1</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Creation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46</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Bonded standard warehouse receipts are created in accordance with the Exchange’s rules for duty-paid standard warehouse receipts. The registrant shall additionally provide the document of title, certificate of inspection, and other customs documentations.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47</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Bonded standard warehouse receipts for methanol may be transferred or used in delivery, EFP, load-out, as margin, and for any other purposes prescribed by the Exchange.</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2</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Delivery and Transfer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48</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Unless otherwise provided by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 xml:space="preserve">, the settlement procedures, issuance and receipt of VAT invoices, and the determination and handling of the buyer’s or seller’s default in a Bonded Delivery of methanol are governed by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49</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Upon the delivery matching of bonded standard warehouse receipts for methanol, the seller’s bonded standard warehouse receipts will be frozen and the corresponding margin will not be immediately released.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50</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Before 9:00 a.m. on the Third Delivery Day, a buying Member shall have fully paid any remaining delivery payment calculated based on the bonded final settlement price.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delivery payment for bonded standard warehouse receipts is calculated based on the delivery quantity, bonded final settlement price, and bonded premiums and discounts. Specifically, delivery payment for bonded standard warehouse receipts = (bonded final settlement price + bonded premiums and discounts) × bonded delivery quantity; where bonded final settlement price = [(tax-included final settlement price – relevant expenses) / (1 + import VAT rate) – consumption tax] / (1 + import duty rate), bonded premiums and discounts = [premiums and discounts / (1 + import VAT rate)] / (1 + import duty rate).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In the above formulas, the consumption tax is based on weight and the import duty is based on price; the premiums and discounts and the relevant expenses will be separately announced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bonded final settlement price is published by the Exchange after market close on the matching day in the delivery month. Upon any change in national tax policies, the Exchange may adjust the formula for the bonded final settlement price and publish the updated formula at an appropriate time.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51</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Following market close on the Third Delivery Day, the Exchange will issue to each seller the Bonded Final Settlement Statement and Statement of Bonded Standard Warehouse Receipt Holdings needed for customs declaration. The Bonded Final Settlement Statement will state the names of the buyer and seller, names of the buying Member and selling Member, the delivery warehouse, actual quantity settled, the bonded final settlement price, and bonded premiums and discounts.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seller shall initiate and complete the customs declaration procedures with the Bonded Final Settlement Statement and Statement of Bonded Standard Warehouse Receipt Holdings within the customs declaration window, i.e., seven (7) trading days starting on the day after the Third Delivery Day, or be deemed to have committed a delivery default. The transaction price to be declared shall be the bonded final settlement price indicated on the Bonded Final Settlement Statement plus any bonded premiums and discounts.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Upon completing the customs declaration procedures, the seller shall submit the customs declaration forms and other documentations to the Exchange, which will, following review, convert the bonded standard warehouse receipts into duty-paid standard warehouse receipts and handle the transfer of delivery payment and standard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customs declaration is delayed due to the customs authority or other policy reasons, the transfer of delivery payment and standard warehouse receipts will be postponed accordingly and the delay will not be deemed as a delivery default.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52</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A seller shall issue a special VAT invoice to the buyer within seven (7) trading days following the end of the customs declaration windows. If the delivery of the special VAT invoice is delayed for one (1) to ten (10) calendar days, the seller shall pay a late fee at 0.5‰ of the delivery payment, calculated based on the final settlement price, for each day of delay. If such delivery is delayed for over ten (10) calendar days, the seller is deemed to have refused to deliver the special VAT invoice and shall pay a default penalty in accordance with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seller is not liable to pay for the late fee or default penalty if the delivery of special VAT invoice is delayed due to the customs authority or other policy reasons.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53</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With respect to any ownership transfer of bonded standard warehouse receipts of methanol not conducted through delivery matching, the Exchange will not issue the Bonded Final Settlement Statement and the settlement of delivery payment and the issuance and receipt of the VAT invoice and other documentations shall be handled by the relevant Members or clients themselves. The duty-paid price for the methanol covered by the bonded standard warehouse receipts will be reviewed by the customs authority in accordance with applicable regulations.</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3</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EFP</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54</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With respect to any EFP with bonded standard warehouse receipts for methanol, the Exchange will not issue the Bonded Final Settlement Statement and the settlement of delivery payment and the issuance and receipt of the VAT invoice and other documentations shall be handled by the relevant Members or clients themselves.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55</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EFP with bonded standard warehouse receipts for methanol shall be conducted in accordance with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4</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Margin Collateral and Margin Set-Off</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56</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Bonded standard warehouse receipts for methanol may be posted as margin. The Exchange calculates the benchmark value of the bonded standard warehouse receipts based on the settlement price of the nearby MA contract for the trading day preceding the application day less the import VAT, import consumption tax, and import duty.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57</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The procedures for posting of bonded standard warehouse receipts for methanol as margin are governed by the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58</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The procedures for margin set-off with bonded standard warehouse receipts for methanol are identical to the procedures for margin set-off with duty-paid standard warehouse receipts and are specifically governed by the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5</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Cancellation and Load-Out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59</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In addition to the provisions of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 xml:space="preserve">, the cancellation of bonded standard warehouse receipts for methanol and load-out of methanol are also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60</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When undergoing the load-out procedures following the cancellation of bonded standard warehouse receipts for methanol, the pick-up person shall provide the customs clearance documents in addition to its ID card, certificate of identity and authority issued by his employer, and the verification code for the Pick-up Notice.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61</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Upon the cancellation of bonded standard warehouse receipts and the completion of customs declaration and tax payment procedures, the methanol covered by the bonded standard warehouse receipts may be used to register duty-paid standard warehouse receipts.</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5</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62</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a minimum Trading Margin rate of 5% of contract value.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MA contract varies as follows:</w:t>
      </w:r>
    </w:p>
    <w:tbl>
      <w:tblPr>
        <w:tblStyle w:val="3"/>
        <w:tblW w:w="0" w:type="auto"/>
        <w:tblInd w:w="14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53"/>
        <w:gridCol w:w="27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Margin rate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 of contract value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contract value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63</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MA contract has a price limit of ±4% of the settlement price of the preceding trading day.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64</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The position limit of a particular MA contract varies as follows:</w:t>
      </w:r>
    </w:p>
    <w:tbl>
      <w:tblPr>
        <w:tblStyle w:val="3"/>
        <w:tblW w:w="0" w:type="auto"/>
        <w:tblInd w:w="14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575"/>
        <w:gridCol w:w="1757"/>
        <w:gridCol w:w="17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3708"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Open interest &lt; 300,000</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30,000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spacing w:before="60" w:after="60"/>
              <w:jc w:val="left"/>
              <w:rPr>
                <w:rFonts w:ascii="Times New Roman" w:hAnsi="Times New Roman" w:eastAsia="宋体" w:cs="Times New Roman"/>
                <w:color w:val="333333"/>
                <w:kern w:val="0"/>
                <w:sz w:val="24"/>
                <w:szCs w:val="24"/>
              </w:rPr>
            </w:pP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Open interest ≥ 300,000</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open interest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370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3,000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370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65</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Where the Exchange adjusts the Trading Margin rate or price limit of MA contract in accordance with the </w:t>
      </w:r>
      <w:r>
        <w:rPr>
          <w:rFonts w:ascii="Times New Roman" w:hAnsi="Times New Roman" w:eastAsia="宋体" w:cs="Times New Roman"/>
          <w:i/>
          <w:iCs/>
          <w:color w:val="333333"/>
          <w:kern w:val="0"/>
          <w:sz w:val="24"/>
          <w:szCs w:val="24"/>
        </w:rPr>
        <w:t>Risk Control Rules of Zhengzhou Commodity Exchange</w:t>
      </w:r>
      <w:r>
        <w:rPr>
          <w:rFonts w:ascii="Times New Roman" w:hAnsi="Times New Roman" w:eastAsia="宋体" w:cs="Times New Roman"/>
          <w:color w:val="333333"/>
          <w:kern w:val="0"/>
          <w:sz w:val="24"/>
          <w:szCs w:val="24"/>
        </w:rPr>
        <w:t xml:space="preserve"> or other rules, such adjusted values shall prevail.</w:t>
      </w:r>
    </w:p>
    <w:p>
      <w:pPr>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6</w:t>
      </w:r>
      <w:r>
        <w:rPr>
          <w:rFonts w:ascii="Times New Roman" w:hAnsi="Times New Roman" w:eastAsia="等线"/>
          <w:b/>
          <w:bCs/>
          <w:kern w:val="0"/>
          <w:sz w:val="24"/>
          <w:szCs w:val="24"/>
        </w:rP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66</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67</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68</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rPr>
          <w:rFonts w:ascii="Times New Roman" w:hAnsi="Times New Roman" w:eastAsia="宋体" w:cs="Times New Roman"/>
          <w:color w:val="333333"/>
          <w:kern w:val="0"/>
          <w:sz w:val="24"/>
          <w:szCs w:val="24"/>
          <w:highlight w:val="none"/>
        </w:rPr>
      </w:pPr>
      <w:r>
        <w:rPr>
          <w:rFonts w:ascii="Times New Roman" w:hAnsi="Times New Roman" w:eastAsia="宋体" w:cs="Times New Roman"/>
          <w:b/>
          <w:bCs/>
          <w:color w:val="333333"/>
          <w:kern w:val="0"/>
          <w:sz w:val="24"/>
          <w:szCs w:val="24"/>
        </w:rPr>
        <w:t>Article 69</w:t>
      </w:r>
      <w:r>
        <w:rPr>
          <w:rFonts w:ascii="Times New Roman" w:hAnsi="Times New Roman" w:eastAsia="等线"/>
          <w:b/>
          <w:bCs/>
          <w:kern w:val="0"/>
          <w:sz w:val="24"/>
          <w:szCs w:val="24"/>
        </w:rP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ascii="Times New Roman" w:hAnsi="Times New Roman" w:eastAsia="等线"/>
          <w:kern w:val="0"/>
          <w:sz w:val="24"/>
          <w:szCs w:val="24"/>
          <w:highlight w:val="none"/>
        </w:rPr>
        <w:t>.</w:t>
      </w:r>
    </w:p>
    <w:p>
      <w:pPr>
        <w:widowControl/>
        <w:spacing w:after="312" w:afterLines="100" w:line="276" w:lineRule="auto"/>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EF"/>
    <w:rsid w:val="00460EDF"/>
    <w:rsid w:val="005445C5"/>
    <w:rsid w:val="006375E0"/>
    <w:rsid w:val="0064786E"/>
    <w:rsid w:val="0068027A"/>
    <w:rsid w:val="007B633B"/>
    <w:rsid w:val="00833E84"/>
    <w:rsid w:val="008A52FA"/>
    <w:rsid w:val="00917BEF"/>
    <w:rsid w:val="00994E10"/>
    <w:rsid w:val="00BB155D"/>
    <w:rsid w:val="00E67B8B"/>
    <w:rsid w:val="00E86F65"/>
    <w:rsid w:val="13BF3345"/>
    <w:rsid w:val="2C512815"/>
    <w:rsid w:val="415E0BE4"/>
    <w:rsid w:val="77F75ED7"/>
    <w:rsid w:val="7F731F2C"/>
    <w:rsid w:val="EFFA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5">
    <w:name w:val="Hyperlink"/>
    <w:basedOn w:val="4"/>
    <w:semiHidden/>
    <w:unhideWhenUsed/>
    <w:qFormat/>
    <w:uiPriority w:val="99"/>
    <w:rPr>
      <w:color w:val="333333"/>
      <w:u w:val="none"/>
      <w:shd w:val="clear" w:color="auto" w:fill="auto"/>
    </w:rPr>
  </w:style>
  <w:style w:type="character" w:customStyle="1" w:styleId="6">
    <w:name w:val="hidden-xs"/>
    <w:basedOn w:val="4"/>
    <w:qFormat/>
    <w:uiPriority w:val="0"/>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4305</Words>
  <Characters>24542</Characters>
  <Lines>204</Lines>
  <Paragraphs>57</Paragraphs>
  <TotalTime>0</TotalTime>
  <ScaleCrop>false</ScaleCrop>
  <LinksUpToDate>false</LinksUpToDate>
  <CharactersWithSpaces>28790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2024-01-24T14:49:00Z</dcterms:created>
  <dc:creator>李柯颖</dc:creator>
  <cp:lastModifiedBy> 牛文静</cp:lastModifiedBy>
  <dcterms:modified xsi:type="dcterms:W3CDTF">2024-02-07T01:30:10Z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45074573E2524F2F6398B86535E9B712</vt:lpwstr>
  </property>
</Properties>
</file>